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ZK1 2019 28 vom 22. Februar 2021</w:t>
      </w:r>
    </w:p>
    <w:p>
      <w:r>
        <w:t>SZ Gerichte, 2021-02-22, DE</w:t>
      </w:r>
    </w:p>
    <w:p>
      <w:r>
        <w:rPr>
          <w:b/>
        </w:rPr>
        <w:t xml:space="preserve">Quelle: </w:t>
      </w:r>
      <w:r>
        <w:t>https://mcp.opencaselaw.ch/entscheid/sz_gerichte_ZK1 2019 28</w:t>
      </w:r>
    </w:p>
    <w:p>
      <w:r>
        <w:t>FR: SZ_GERICHTE ZK1 2019 28 du 22 février 2021</w:t>
      </w:r>
    </w:p>
    <w:p>
      <w:r>
        <w:t>IT: SZ_GERICHTE ZK1 2019 28 del 22 febbraio 2021</w:t>
      </w:r>
    </w:p>
    <w:p>
      <w:pPr>
        <w:pStyle w:val="Heading2"/>
      </w:pPr>
      <w:r>
        <w:t>Regeste</w:t>
      </w:r>
    </w:p>
    <w:p>
      <w:r>
        <w:t>Erbteilung | Erbrecht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C.________,</w:t>
      </w:r>
    </w:p>
    <w:p>
      <w:r>
        <w:rPr>
          <w:b/>
        </w:rPr>
        <w:t>E. 2</w:t>
      </w:r>
    </w:p>
    <w:p>
      <w:r>
        <w:t>D.________, Beklagte(r) und Berufungsgegner(in), beide vertreten durch Rechtsanwalt E.________, \n \n \n \n \n \n \n \n betreffend \n Erbteilung; unentgeltliche Rechtspflege \n \n \n \n (Berufung und Beschwerde gegen das Urteil des Bezirksgerichts Höfe vom 15. Mai 2019, ZGO 2017 11);- \n \n \n hat die 1. Zivilkammer, \n \n nachdem sich ergeben: \n A. Am ________ verstarb G.________ an seinem letzten Wohnsitz in Pfäffikon SZ (ZET 2015 266). Er hinterliess die Nachkommen H.________, C.________ und D.________. \n B. Am 31. März 2017 erhob A.________ (nachfolgend: Klägerin) beim Bezirksgericht Höfe wie folgt Klage gegen C.________ und D.________ (nachfolgend: die Beklagten; Vi-act. I): \n 1. Es sei festzustellen, dass die Klägerin aufgrund der letztwilligen Verfügung (datiert vom 17. März 2013) in Verbindung mit der Ergänzung vom 9. Februar 2015 des Erblassers, G.________, als eingesetzte Erbin am Nachlass beteiligt und ihr ein Erbschein gem.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